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抗精神病药物使用的变化趋势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蔡勋</w:t>
      </w:r>
      <w:r>
        <w:rPr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新加坡国立大学药理学系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目的和目的：本文描述了2001年至2016年亚洲国家精神分裂症患者抗精神病药物处方模式的特点。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方法：本研究的作者与亚洲的精神科医生合作，进行了一项国际调查，审查了亚洲精神药物的处方模式。使用统一的研究方案和问卷，REAP（亚洲精神药物处方模式研究）研究回顾了2001年（N=2399）、2004年（N:2136）和2008年（N/2226）来自中国、香港、日本、韩国、新加坡和台湾的大量住院患者的处方。2016年，我们调查了孟加拉国、中国、香港、印度、印度尼西亚、日本、韩国、马来西亚、缅甸、巴基斯坦、新加坡、斯里兰卡、台湾、泰国和越南的住院和门诊精神分裂症患者（N=3744）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果：抗精神病药物的处方模式因国家而异，自一些国家引入第二代抗精神病药以来，最近发生了快速变化。我们多年来的调查表明，随着第一代抗精神病药物的使用减少，第二代抗精神疾病药物的使用急剧增加。患者精神病理学的表现因国家而异。此外，抗抑郁药的使用也有所增加。这些问题的原因需要进一步探讨。许多国家内分泌失调和代谢综合征的增加需要进行系统研究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结论：精神分裂症患者的精神药物处方模式不断变化，给亚洲的精神科医生带来了多重挑战，需要进行紧急的结果研究和审查。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资助：这项研究由新加坡卫生部MOH2978/2019赠款资助。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利益冲突：作者声明没有利益冲突。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jA0sTA0sDA2MDRQ0lEKTi0uzszPAykwrAUA+Xmv3iwAAAA="/>
    <w:docVar w:name="commondata" w:val="eyJoZGlkIjoiODVjYzdjYTQzMjhjZmU4NTQwOTMyYzllZjEwZGRmMTEifQ=="/>
  </w:docVars>
  <w:rsids>
    <w:rsidRoot w:val="002648CD"/>
    <w:rsid w:val="002648CD"/>
    <w:rsid w:val="00301EA7"/>
    <w:rsid w:val="0039654E"/>
    <w:rsid w:val="4419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SG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1758</Characters>
  <Lines>14</Lines>
  <Paragraphs>4</Paragraphs>
  <TotalTime>6</TotalTime>
  <ScaleCrop>false</ScaleCrop>
  <LinksUpToDate>false</LinksUpToDate>
  <CharactersWithSpaces>2035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2021-03-12T10:54:00Z</dcterms:created>
  <dc:creator>Gavin Dawe</dc:creator>
  <cp:lastModifiedBy>Administrator</cp:lastModifiedBy>
  <dcterms:modified xsi:type="dcterms:W3CDTF">2022-11-23T09:02:05Z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59BDC62E5C3A4FE5A573123A5D717997</vt:lpwstr>
  </property>
</Properties>
</file>